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8CC4" w14:textId="77777777" w:rsidR="002D78C9" w:rsidRDefault="00F07469" w:rsidP="00DD3DD7">
      <w:pPr>
        <w:pStyle w:val="Title"/>
      </w:pPr>
      <w:r w:rsidRPr="002F663C">
        <w:t>NOTIFICATION</w:t>
      </w:r>
    </w:p>
    <w:p w14:paraId="322B0AEE" w14:textId="77777777" w:rsidR="002F663C" w:rsidRPr="002F663C" w:rsidRDefault="00F07469" w:rsidP="00DD3DD7">
      <w:pPr>
        <w:pStyle w:val="Title3"/>
      </w:pPr>
      <w:r w:rsidRPr="002F663C">
        <w:t>Addendum</w:t>
      </w:r>
    </w:p>
    <w:p w14:paraId="384F2121" w14:textId="77777777" w:rsidR="002F663C" w:rsidRDefault="00F0746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11 July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New Zealand</w:t>
      </w:r>
      <w:r w:rsidRPr="002F663C">
        <w:rPr>
          <w:rFonts w:eastAsia="Calibri" w:cs="Times New Roman"/>
        </w:rPr>
        <w:t>.</w:t>
      </w:r>
    </w:p>
    <w:p w14:paraId="4EB6D291" w14:textId="77777777" w:rsidR="001E2E4A" w:rsidRPr="002F663C" w:rsidRDefault="001E2E4A" w:rsidP="001E2E4A">
      <w:pPr>
        <w:rPr>
          <w:rFonts w:eastAsia="Calibri" w:cs="Times New Roman"/>
        </w:rPr>
      </w:pPr>
    </w:p>
    <w:p w14:paraId="56B8EDE0" w14:textId="77777777" w:rsidR="002F663C" w:rsidRPr="002F663C" w:rsidRDefault="00F07469" w:rsidP="002F663C">
      <w:pPr>
        <w:jc w:val="center"/>
        <w:rPr>
          <w:rFonts w:eastAsia="Calibri" w:cs="Times New Roman"/>
          <w:b/>
        </w:rPr>
      </w:pPr>
      <w:r w:rsidRPr="002F663C">
        <w:rPr>
          <w:rFonts w:eastAsia="Calibri" w:cs="Times New Roman"/>
          <w:b/>
        </w:rPr>
        <w:t>_______________</w:t>
      </w:r>
    </w:p>
    <w:p w14:paraId="0F8A851E" w14:textId="77777777" w:rsidR="002F663C" w:rsidRDefault="002F663C" w:rsidP="002F663C">
      <w:pPr>
        <w:rPr>
          <w:rFonts w:eastAsia="Calibri" w:cs="Times New Roman"/>
        </w:rPr>
      </w:pPr>
    </w:p>
    <w:p w14:paraId="5021821A" w14:textId="77777777" w:rsidR="00C14444" w:rsidRPr="002F663C" w:rsidRDefault="00C14444" w:rsidP="002F663C">
      <w:pPr>
        <w:rPr>
          <w:rFonts w:eastAsia="Calibri" w:cs="Times New Roman"/>
        </w:rPr>
      </w:pPr>
    </w:p>
    <w:p w14:paraId="3088EDBF" w14:textId="77777777" w:rsidR="002F663C" w:rsidRPr="002F663C" w:rsidRDefault="00F0746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Two year extension of transition period for inhibitor substances listed in the Agricultural Compounds and Veterinary Medicines (Inhibitor Substances) Order 2022 </w:t>
      </w:r>
    </w:p>
    <w:p w14:paraId="10158B1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12B8C" w14:paraId="32DDE2C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5867908" w14:textId="77777777" w:rsidR="002F663C" w:rsidRPr="002F663C" w:rsidRDefault="00F0746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312B8C" w14:paraId="58301896" w14:textId="77777777" w:rsidTr="00E9471B">
        <w:tc>
          <w:tcPr>
            <w:tcW w:w="851" w:type="dxa"/>
            <w:shd w:val="clear" w:color="auto" w:fill="auto"/>
          </w:tcPr>
          <w:p w14:paraId="0552A379" w14:textId="77777777" w:rsidR="002F663C" w:rsidRPr="00711F9C" w:rsidRDefault="00F0746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E5619FF" w14:textId="77777777" w:rsidR="002F663C" w:rsidRPr="002F663C" w:rsidRDefault="00F0746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312B8C" w14:paraId="10AD641C" w14:textId="77777777" w:rsidTr="00E9471B">
        <w:tc>
          <w:tcPr>
            <w:tcW w:w="851" w:type="dxa"/>
            <w:shd w:val="clear" w:color="auto" w:fill="auto"/>
          </w:tcPr>
          <w:p w14:paraId="482C213C"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003E678" w14:textId="77777777" w:rsidR="002F663C" w:rsidRPr="002F663C" w:rsidRDefault="00F074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312B8C" w14:paraId="656AB697" w14:textId="77777777" w:rsidTr="00E9471B">
        <w:tc>
          <w:tcPr>
            <w:tcW w:w="851" w:type="dxa"/>
            <w:shd w:val="clear" w:color="auto" w:fill="auto"/>
          </w:tcPr>
          <w:p w14:paraId="66E649D4"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BAB4B0B" w14:textId="77777777" w:rsidR="002F663C" w:rsidRPr="002F663C" w:rsidRDefault="00F074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312B8C" w14:paraId="1DF1AF7A" w14:textId="77777777" w:rsidTr="00E9471B">
        <w:tc>
          <w:tcPr>
            <w:tcW w:w="851" w:type="dxa"/>
            <w:shd w:val="clear" w:color="auto" w:fill="auto"/>
          </w:tcPr>
          <w:p w14:paraId="49EBB7A4"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2F0E0EC" w14:textId="77777777" w:rsidR="002F663C" w:rsidRPr="002F663C" w:rsidRDefault="00F074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312B8C" w14:paraId="751DCDEF" w14:textId="77777777" w:rsidTr="00E9471B">
        <w:tc>
          <w:tcPr>
            <w:tcW w:w="851" w:type="dxa"/>
            <w:shd w:val="clear" w:color="auto" w:fill="auto"/>
          </w:tcPr>
          <w:p w14:paraId="5BE5AAF8"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4DCC928" w14:textId="77777777" w:rsidR="002F663C" w:rsidRPr="002F663C" w:rsidRDefault="00F0746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312B8C" w14:paraId="2FB9F43F" w14:textId="77777777" w:rsidTr="00E9471B">
        <w:tc>
          <w:tcPr>
            <w:tcW w:w="851" w:type="dxa"/>
            <w:shd w:val="clear" w:color="auto" w:fill="auto"/>
          </w:tcPr>
          <w:p w14:paraId="137231D4"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EEE49FD" w14:textId="77777777" w:rsidR="002F663C" w:rsidRPr="002F663C" w:rsidRDefault="00F0746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6993CB0" w14:textId="77777777" w:rsidR="002F663C" w:rsidRPr="002F663C" w:rsidRDefault="00F0746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312B8C" w14:paraId="24E13AD2" w14:textId="77777777" w:rsidTr="00E9471B">
        <w:tc>
          <w:tcPr>
            <w:tcW w:w="851" w:type="dxa"/>
            <w:shd w:val="clear" w:color="auto" w:fill="auto"/>
          </w:tcPr>
          <w:p w14:paraId="0BDBD33B" w14:textId="77777777" w:rsidR="002F663C" w:rsidRPr="00711F9C" w:rsidRDefault="00F0746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B4336B5" w14:textId="77777777" w:rsidR="002F663C" w:rsidRPr="002F663C" w:rsidRDefault="00F0746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C96810B" w14:textId="77777777" w:rsidR="002F663C" w:rsidRPr="002F663C" w:rsidRDefault="00F0746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312B8C" w14:paraId="5226FFCC" w14:textId="77777777" w:rsidTr="00E9471B">
        <w:tc>
          <w:tcPr>
            <w:tcW w:w="851" w:type="dxa"/>
            <w:shd w:val="clear" w:color="auto" w:fill="auto"/>
          </w:tcPr>
          <w:p w14:paraId="6F9A4A20" w14:textId="77777777" w:rsidR="002F663C" w:rsidRPr="00711F9C" w:rsidRDefault="00F0746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D1AA48A" w14:textId="77777777" w:rsidR="002F663C" w:rsidRPr="002F663C" w:rsidRDefault="00F0746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312B8C" w14:paraId="05E7013F" w14:textId="77777777" w:rsidTr="00E9471B">
        <w:tc>
          <w:tcPr>
            <w:tcW w:w="851" w:type="dxa"/>
            <w:tcBorders>
              <w:bottom w:val="double" w:sz="4" w:space="0" w:color="auto"/>
            </w:tcBorders>
            <w:shd w:val="clear" w:color="auto" w:fill="auto"/>
          </w:tcPr>
          <w:p w14:paraId="3D3021C2" w14:textId="77777777" w:rsidR="002F663C" w:rsidRPr="00711F9C" w:rsidRDefault="00F07469"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7A8BD17C" w14:textId="77777777" w:rsidR="002F663C" w:rsidRPr="002F663C" w:rsidRDefault="00F07469"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60F08339" w14:textId="77777777" w:rsidR="00467A46" w:rsidRDefault="00F07469" w:rsidP="00EB7B40">
            <w:pPr>
              <w:spacing w:before="120" w:after="120"/>
              <w:rPr>
                <w:rFonts w:eastAsia="Calibri" w:cs="Times New Roman"/>
              </w:rPr>
            </w:pPr>
            <w:r>
              <w:rPr>
                <w:rFonts w:eastAsia="Calibri" w:cs="Times New Roman"/>
              </w:rPr>
              <w:t>The amendment regulations extend an exemption from registration for certain inhibitor substances listed on the Agricultural Compounds and Veterinary Medicines (Inhibitor Substances) Order 2022 by two years from 17 July 2024 to 1 July 2026.</w:t>
            </w:r>
          </w:p>
        </w:tc>
      </w:tr>
      <w:bookmarkEnd w:id="0"/>
    </w:tbl>
    <w:p w14:paraId="0A2771B5" w14:textId="77777777" w:rsidR="002F663C" w:rsidRPr="002F663C" w:rsidRDefault="002F663C" w:rsidP="002F663C">
      <w:pPr>
        <w:jc w:val="left"/>
        <w:rPr>
          <w:rFonts w:eastAsia="Calibri" w:cs="Times New Roman"/>
          <w:highlight w:val="yellow"/>
        </w:rPr>
      </w:pPr>
    </w:p>
    <w:p w14:paraId="2641D97D" w14:textId="77777777" w:rsidR="003971FF" w:rsidRPr="007F6EA2" w:rsidRDefault="00F0746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On 18 August 2022, New Zealand notified the TBT Committee of two interim measures and indicated its intent to bring inhibitors under the Agricultural Compounds and Veterinary Medicines Act 1997 (ACVM Act) (G/TBT/N/114 refers). These interim measures included:</w:t>
      </w:r>
    </w:p>
    <w:p w14:paraId="474154BF" w14:textId="77777777" w:rsidR="00B170D1" w:rsidRPr="002F663C" w:rsidRDefault="00F07469" w:rsidP="00B16ACF">
      <w:pPr>
        <w:numPr>
          <w:ilvl w:val="0"/>
          <w:numId w:val="17"/>
        </w:numPr>
        <w:spacing w:before="120" w:after="120"/>
        <w:rPr>
          <w:rFonts w:eastAsia="Calibri" w:cs="Times New Roman"/>
          <w:szCs w:val="18"/>
        </w:rPr>
      </w:pPr>
      <w:r w:rsidRPr="002F663C">
        <w:rPr>
          <w:rFonts w:eastAsia="Calibri" w:cs="Times New Roman"/>
          <w:szCs w:val="18"/>
        </w:rPr>
        <w:t>Agricultural Compounds and Veterinary Medicines (Inhibitor Substances) Order 2022 (the Order) that declares 46 inhibitor substances as 'agricultural compounds' and enables these substances to be registered under the ACVM Act; and</w:t>
      </w:r>
    </w:p>
    <w:p w14:paraId="305CF00A" w14:textId="77777777" w:rsidR="00B170D1" w:rsidRPr="002F663C" w:rsidRDefault="00F07469" w:rsidP="00B16ACF">
      <w:pPr>
        <w:numPr>
          <w:ilvl w:val="0"/>
          <w:numId w:val="17"/>
        </w:numPr>
        <w:spacing w:before="120" w:after="120"/>
        <w:rPr>
          <w:rFonts w:eastAsia="Calibri" w:cs="Times New Roman"/>
          <w:szCs w:val="18"/>
        </w:rPr>
      </w:pPr>
      <w:r w:rsidRPr="002F663C">
        <w:rPr>
          <w:rFonts w:eastAsia="Calibri" w:cs="Times New Roman"/>
          <w:szCs w:val="18"/>
        </w:rPr>
        <w:t>Agricultural Compounds and Veterinary Medicines (Exemptions and Prohibited Substances) Amendment Regulations 2022 which provided a transition period of two years for the 46 inhibitor substances in the Order.</w:t>
      </w:r>
    </w:p>
    <w:p w14:paraId="78718280" w14:textId="77777777" w:rsidR="00B170D1" w:rsidRPr="002F663C" w:rsidRDefault="00F07469" w:rsidP="00B16ACF">
      <w:pPr>
        <w:spacing w:before="120" w:after="120"/>
        <w:rPr>
          <w:rFonts w:eastAsia="Calibri" w:cs="Times New Roman"/>
          <w:szCs w:val="18"/>
        </w:rPr>
      </w:pPr>
      <w:r w:rsidRPr="002F663C">
        <w:rPr>
          <w:rFonts w:eastAsia="Calibri" w:cs="Times New Roman"/>
          <w:szCs w:val="18"/>
        </w:rPr>
        <w:lastRenderedPageBreak/>
        <w:t>In May 2024, Government agreed to extend the transition period for the inhibitor substances listed in the Order by two years. This will give more time for agrichemical companies to register their inhibitors under the ACVM Act. This extension of the transition period is operationalised in the Agricultural Compounds and Veterinary Medicines (Exemptions and Prohibited Substances) Amendment Regulations 2022 Amendment Regulations 2024 (Amendment Regulations 2024).</w:t>
      </w:r>
    </w:p>
    <w:p w14:paraId="35A864A8" w14:textId="77777777" w:rsidR="00B170D1" w:rsidRPr="002F663C" w:rsidRDefault="00F07469" w:rsidP="00B16ACF">
      <w:pPr>
        <w:spacing w:before="120" w:after="120"/>
        <w:rPr>
          <w:rFonts w:eastAsia="Calibri" w:cs="Times New Roman"/>
          <w:szCs w:val="18"/>
        </w:rPr>
      </w:pPr>
      <w:r w:rsidRPr="002F663C">
        <w:rPr>
          <w:rFonts w:eastAsia="Calibri" w:cs="Times New Roman"/>
          <w:szCs w:val="18"/>
        </w:rPr>
        <w:t xml:space="preserve">You can see the Amendment Regulations 2024 </w:t>
      </w:r>
      <w:hyperlink r:id="rId9" w:history="1">
        <w:r w:rsidRPr="002F663C">
          <w:rPr>
            <w:rFonts w:eastAsia="Calibri" w:cs="Times New Roman"/>
            <w:color w:val="0000FF"/>
            <w:szCs w:val="18"/>
            <w:u w:val="single"/>
          </w:rPr>
          <w:t>here</w:t>
        </w:r>
      </w:hyperlink>
      <w:r w:rsidRPr="002F663C">
        <w:rPr>
          <w:rFonts w:eastAsia="Calibri" w:cs="Times New Roman"/>
          <w:szCs w:val="18"/>
        </w:rPr>
        <w:t>.</w:t>
      </w:r>
    </w:p>
    <w:p w14:paraId="182A5A20" w14:textId="77777777" w:rsidR="00B170D1" w:rsidRPr="002F663C" w:rsidRDefault="00F07469" w:rsidP="00B16ACF">
      <w:pPr>
        <w:spacing w:before="120" w:after="120"/>
        <w:rPr>
          <w:rFonts w:eastAsia="Calibri" w:cs="Times New Roman"/>
          <w:szCs w:val="18"/>
        </w:rPr>
      </w:pPr>
      <w:r w:rsidRPr="002F663C">
        <w:rPr>
          <w:rFonts w:eastAsia="Calibri" w:cs="Times New Roman"/>
          <w:szCs w:val="18"/>
        </w:rPr>
        <w:t xml:space="preserve">As indicated, the relevant changes to the ACVM Act which will add inhibitors to the central definition of 'agricultural compound' were notified in April 2024 under </w:t>
      </w:r>
      <w:hyperlink r:id="rId10" w:history="1">
        <w:r w:rsidRPr="002F663C">
          <w:rPr>
            <w:rFonts w:eastAsia="Calibri" w:cs="Times New Roman"/>
            <w:color w:val="0000FF"/>
            <w:szCs w:val="18"/>
            <w:u w:val="single"/>
          </w:rPr>
          <w:t>G/TBT/N/NZL/132</w:t>
        </w:r>
      </w:hyperlink>
      <w:r w:rsidRPr="002F663C">
        <w:rPr>
          <w:rFonts w:eastAsia="Calibri" w:cs="Times New Roman"/>
          <w:szCs w:val="18"/>
        </w:rPr>
        <w:t>. As set out in the description, on commencement of the [Regulatory Systems (Primary Industries) Amendment Bill], the interim measure (and therefore it's extension) will be revoked and there will be a one-year transition for agrichemical companies to register their inhibitor substances used in New Zealand under the ACVM Act.</w:t>
      </w:r>
    </w:p>
    <w:p w14:paraId="2BD02FFA" w14:textId="77777777" w:rsidR="006C5A96" w:rsidRDefault="00F07469" w:rsidP="006C5A96">
      <w:pPr>
        <w:jc w:val="center"/>
        <w:rPr>
          <w:b/>
        </w:rPr>
      </w:pPr>
      <w:r w:rsidRPr="003971FF">
        <w:rPr>
          <w:b/>
        </w:rPr>
        <w:t>__________</w:t>
      </w:r>
    </w:p>
    <w:p w14:paraId="6CCD660E" w14:textId="77777777" w:rsidR="004D4D19" w:rsidRDefault="004D4D19" w:rsidP="007F38C2">
      <w:pPr>
        <w:jc w:val="center"/>
        <w:rPr>
          <w:b/>
        </w:rPr>
      </w:pPr>
    </w:p>
    <w:p w14:paraId="1ED117EE"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A4A0" w14:textId="77777777" w:rsidR="00F07469" w:rsidRDefault="00F07469">
      <w:r>
        <w:separator/>
      </w:r>
    </w:p>
  </w:endnote>
  <w:endnote w:type="continuationSeparator" w:id="0">
    <w:p w14:paraId="7B303F41" w14:textId="77777777" w:rsidR="00F07469" w:rsidRDefault="00F0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7E53" w14:textId="77777777" w:rsidR="00544326" w:rsidRPr="00DD3DD7" w:rsidRDefault="00F0746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B776" w14:textId="77777777" w:rsidR="00544326" w:rsidRPr="00DD3DD7" w:rsidRDefault="00F0746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7356" w14:textId="77777777" w:rsidR="00F07469" w:rsidRDefault="00F0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FC21" w14:textId="77777777" w:rsidR="004D3A6A" w:rsidRDefault="00F07469" w:rsidP="00ED54E0">
      <w:r>
        <w:separator/>
      </w:r>
    </w:p>
  </w:footnote>
  <w:footnote w:type="continuationSeparator" w:id="0">
    <w:p w14:paraId="25F051E0" w14:textId="77777777" w:rsidR="004D3A6A" w:rsidRDefault="00F07469" w:rsidP="00ED54E0">
      <w:r>
        <w:continuationSeparator/>
      </w:r>
    </w:p>
  </w:footnote>
  <w:footnote w:id="1">
    <w:p w14:paraId="549E63D2" w14:textId="77777777" w:rsidR="007F6EA2" w:rsidRDefault="00F0746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C518" w14:textId="77777777" w:rsidR="00DD3DD7" w:rsidRDefault="00F07469"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0DADFC4B" w14:textId="77777777" w:rsidR="004D4D19" w:rsidRPr="00DD3DD7" w:rsidRDefault="004D4D19" w:rsidP="00DD3DD7">
    <w:pPr>
      <w:pStyle w:val="Header"/>
      <w:pBdr>
        <w:bottom w:val="single" w:sz="4" w:space="1" w:color="auto"/>
      </w:pBdr>
      <w:tabs>
        <w:tab w:val="clear" w:pos="4513"/>
        <w:tab w:val="clear" w:pos="9027"/>
      </w:tabs>
      <w:jc w:val="center"/>
    </w:pPr>
  </w:p>
  <w:p w14:paraId="66B4832A" w14:textId="77777777" w:rsidR="00DD3DD7" w:rsidRPr="00DD3DD7" w:rsidRDefault="00F0746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618CBC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24A6" w14:textId="77777777" w:rsidR="00DD3DD7" w:rsidRPr="00DD3DD7" w:rsidRDefault="00F07469" w:rsidP="00DD3DD7">
    <w:pPr>
      <w:pStyle w:val="Header"/>
      <w:pBdr>
        <w:bottom w:val="single" w:sz="4" w:space="1" w:color="auto"/>
      </w:pBdr>
      <w:tabs>
        <w:tab w:val="clear" w:pos="4513"/>
        <w:tab w:val="clear" w:pos="9027"/>
      </w:tabs>
      <w:jc w:val="center"/>
    </w:pPr>
    <w:bookmarkStart w:id="3" w:name="spsSymbolHeader"/>
    <w:r w:rsidRPr="00DD3DD7">
      <w:t>G/TBT/N/NZL/114/Add.1</w:t>
    </w:r>
    <w:bookmarkEnd w:id="3"/>
  </w:p>
  <w:p w14:paraId="1D84EA9E" w14:textId="77777777" w:rsidR="00DD3DD7" w:rsidRPr="00DD3DD7" w:rsidRDefault="00DD3DD7" w:rsidP="00DD3DD7">
    <w:pPr>
      <w:pStyle w:val="Header"/>
      <w:pBdr>
        <w:bottom w:val="single" w:sz="4" w:space="1" w:color="auto"/>
      </w:pBdr>
      <w:tabs>
        <w:tab w:val="clear" w:pos="4513"/>
        <w:tab w:val="clear" w:pos="9027"/>
      </w:tabs>
      <w:jc w:val="center"/>
    </w:pPr>
  </w:p>
  <w:p w14:paraId="0F29820C" w14:textId="77777777" w:rsidR="00DD3DD7" w:rsidRPr="00DD3DD7" w:rsidRDefault="00F0746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66EC73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2B8C" w14:paraId="34D4E1D3" w14:textId="77777777" w:rsidTr="00544326">
      <w:trPr>
        <w:trHeight w:val="240"/>
        <w:jc w:val="center"/>
      </w:trPr>
      <w:tc>
        <w:tcPr>
          <w:tcW w:w="3794" w:type="dxa"/>
          <w:shd w:val="clear" w:color="auto" w:fill="FFFFFF"/>
          <w:tcMar>
            <w:left w:w="108" w:type="dxa"/>
            <w:right w:w="108" w:type="dxa"/>
          </w:tcMar>
          <w:vAlign w:val="center"/>
        </w:tcPr>
        <w:p w14:paraId="275169C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9545F31" w14:textId="77777777" w:rsidR="00ED54E0" w:rsidRPr="00182B84" w:rsidRDefault="00F07469" w:rsidP="00425DC5">
          <w:pPr>
            <w:jc w:val="right"/>
            <w:rPr>
              <w:b/>
              <w:color w:val="FF0000"/>
              <w:szCs w:val="16"/>
            </w:rPr>
          </w:pPr>
          <w:r>
            <w:rPr>
              <w:b/>
              <w:color w:val="FF0000"/>
              <w:szCs w:val="16"/>
            </w:rPr>
            <w:t xml:space="preserve"> </w:t>
          </w:r>
        </w:p>
      </w:tc>
    </w:tr>
    <w:tr w:rsidR="00312B8C" w14:paraId="3FEEA0DA" w14:textId="77777777" w:rsidTr="00544326">
      <w:trPr>
        <w:trHeight w:val="213"/>
        <w:jc w:val="center"/>
      </w:trPr>
      <w:tc>
        <w:tcPr>
          <w:tcW w:w="3794" w:type="dxa"/>
          <w:vMerge w:val="restart"/>
          <w:shd w:val="clear" w:color="auto" w:fill="FFFFFF"/>
          <w:tcMar>
            <w:left w:w="0" w:type="dxa"/>
            <w:right w:w="0" w:type="dxa"/>
          </w:tcMar>
        </w:tcPr>
        <w:p w14:paraId="65E81B6A" w14:textId="77777777" w:rsidR="00ED54E0" w:rsidRPr="00182B84" w:rsidRDefault="00F07469" w:rsidP="00425DC5">
          <w:pPr>
            <w:jc w:val="left"/>
          </w:pPr>
          <w:r w:rsidRPr="00182B84">
            <w:rPr>
              <w:noProof/>
              <w:lang w:val="en-US"/>
            </w:rPr>
            <w:drawing>
              <wp:inline distT="0" distB="0" distL="0" distR="0" wp14:anchorId="78C91A22" wp14:editId="55FC8C4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593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70A174" w14:textId="77777777" w:rsidR="00ED54E0" w:rsidRPr="00182B84" w:rsidRDefault="00ED54E0" w:rsidP="00425DC5">
          <w:pPr>
            <w:jc w:val="right"/>
            <w:rPr>
              <w:b/>
              <w:szCs w:val="16"/>
            </w:rPr>
          </w:pPr>
        </w:p>
      </w:tc>
    </w:tr>
    <w:tr w:rsidR="00312B8C" w14:paraId="2D376BF3" w14:textId="77777777" w:rsidTr="00544326">
      <w:trPr>
        <w:trHeight w:val="868"/>
        <w:jc w:val="center"/>
      </w:trPr>
      <w:tc>
        <w:tcPr>
          <w:tcW w:w="3794" w:type="dxa"/>
          <w:vMerge/>
          <w:shd w:val="clear" w:color="auto" w:fill="FFFFFF"/>
          <w:tcMar>
            <w:left w:w="108" w:type="dxa"/>
            <w:right w:w="108" w:type="dxa"/>
          </w:tcMar>
        </w:tcPr>
        <w:p w14:paraId="409DB08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88E827" w14:textId="77777777" w:rsidR="00DD3DD7" w:rsidRPr="002F663C" w:rsidRDefault="00F07469" w:rsidP="00DD3DD7">
          <w:pPr>
            <w:jc w:val="right"/>
            <w:rPr>
              <w:rFonts w:eastAsia="Calibri" w:cs="Times New Roman"/>
              <w:b/>
              <w:szCs w:val="16"/>
            </w:rPr>
          </w:pPr>
          <w:bookmarkStart w:id="4" w:name="bmkSymbols"/>
          <w:r w:rsidRPr="002F663C">
            <w:rPr>
              <w:rFonts w:eastAsia="Calibri" w:cs="Times New Roman"/>
              <w:b/>
              <w:szCs w:val="16"/>
            </w:rPr>
            <w:t>G/TBT/N/NZL/114/Add.1</w:t>
          </w:r>
          <w:bookmarkEnd w:id="4"/>
        </w:p>
        <w:p w14:paraId="2B3F0F37" w14:textId="77777777" w:rsidR="00C14444" w:rsidRPr="00C14444" w:rsidRDefault="00C14444" w:rsidP="00C14444">
          <w:pPr>
            <w:jc w:val="center"/>
            <w:rPr>
              <w:szCs w:val="16"/>
            </w:rPr>
          </w:pPr>
        </w:p>
      </w:tc>
    </w:tr>
    <w:tr w:rsidR="00312B8C" w14:paraId="10FBEE2A" w14:textId="77777777" w:rsidTr="00544326">
      <w:trPr>
        <w:trHeight w:val="240"/>
        <w:jc w:val="center"/>
      </w:trPr>
      <w:tc>
        <w:tcPr>
          <w:tcW w:w="3794" w:type="dxa"/>
          <w:vMerge/>
          <w:shd w:val="clear" w:color="auto" w:fill="FFFFFF"/>
          <w:tcMar>
            <w:left w:w="108" w:type="dxa"/>
            <w:right w:w="108" w:type="dxa"/>
          </w:tcMar>
          <w:vAlign w:val="center"/>
        </w:tcPr>
        <w:p w14:paraId="4235213E" w14:textId="77777777" w:rsidR="00ED54E0" w:rsidRPr="00182B84" w:rsidRDefault="00ED54E0" w:rsidP="00425DC5"/>
      </w:tc>
      <w:tc>
        <w:tcPr>
          <w:tcW w:w="5448" w:type="dxa"/>
          <w:gridSpan w:val="2"/>
          <w:shd w:val="clear" w:color="auto" w:fill="FFFFFF"/>
          <w:tcMar>
            <w:left w:w="108" w:type="dxa"/>
            <w:right w:w="108" w:type="dxa"/>
          </w:tcMar>
          <w:vAlign w:val="center"/>
        </w:tcPr>
        <w:p w14:paraId="0B492ACF" w14:textId="234B69FD" w:rsidR="00ED54E0" w:rsidRPr="00182B84" w:rsidRDefault="00F07469" w:rsidP="00425DC5">
          <w:pPr>
            <w:jc w:val="right"/>
            <w:rPr>
              <w:szCs w:val="16"/>
            </w:rPr>
          </w:pPr>
          <w:bookmarkStart w:id="5" w:name="bmkDate"/>
          <w:bookmarkEnd w:id="5"/>
          <w:r>
            <w:rPr>
              <w:szCs w:val="16"/>
            </w:rPr>
            <w:t>11 July 2024</w:t>
          </w:r>
        </w:p>
      </w:tc>
    </w:tr>
    <w:tr w:rsidR="00312B8C" w14:paraId="18BEF71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EC861E" w14:textId="7677435A" w:rsidR="00ED54E0" w:rsidRPr="00182B84" w:rsidRDefault="00F07469"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1D6146">
            <w:rPr>
              <w:rFonts w:eastAsia="Calibri" w:cs="Times New Roman"/>
              <w:color w:val="FF0000"/>
              <w:szCs w:val="16"/>
            </w:rPr>
            <w:t>5084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E203F7" w14:textId="77777777" w:rsidR="00ED54E0" w:rsidRPr="00182B84" w:rsidRDefault="00F0746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12B8C" w14:paraId="5D72B96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1B1250" w14:textId="77777777" w:rsidR="00ED54E0" w:rsidRPr="00182B84" w:rsidRDefault="00F0746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69A6DCA" w14:textId="77777777" w:rsidR="00ED54E0" w:rsidRPr="00182B84" w:rsidRDefault="00F07469"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540325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EA4BC4">
      <w:start w:val="1"/>
      <w:numFmt w:val="decimal"/>
      <w:pStyle w:val="SummaryText"/>
      <w:lvlText w:val="%1."/>
      <w:lvlJc w:val="left"/>
      <w:pPr>
        <w:ind w:left="360" w:hanging="360"/>
      </w:pPr>
    </w:lvl>
    <w:lvl w:ilvl="1" w:tplc="037C1E94" w:tentative="1">
      <w:start w:val="1"/>
      <w:numFmt w:val="lowerLetter"/>
      <w:lvlText w:val="%2."/>
      <w:lvlJc w:val="left"/>
      <w:pPr>
        <w:ind w:left="1080" w:hanging="360"/>
      </w:pPr>
    </w:lvl>
    <w:lvl w:ilvl="2" w:tplc="80EC6E04" w:tentative="1">
      <w:start w:val="1"/>
      <w:numFmt w:val="lowerRoman"/>
      <w:lvlText w:val="%3."/>
      <w:lvlJc w:val="right"/>
      <w:pPr>
        <w:ind w:left="1800" w:hanging="180"/>
      </w:pPr>
    </w:lvl>
    <w:lvl w:ilvl="3" w:tplc="18CC993E" w:tentative="1">
      <w:start w:val="1"/>
      <w:numFmt w:val="decimal"/>
      <w:lvlText w:val="%4."/>
      <w:lvlJc w:val="left"/>
      <w:pPr>
        <w:ind w:left="2520" w:hanging="360"/>
      </w:pPr>
    </w:lvl>
    <w:lvl w:ilvl="4" w:tplc="5E181304" w:tentative="1">
      <w:start w:val="1"/>
      <w:numFmt w:val="lowerLetter"/>
      <w:lvlText w:val="%5."/>
      <w:lvlJc w:val="left"/>
      <w:pPr>
        <w:ind w:left="3240" w:hanging="360"/>
      </w:pPr>
    </w:lvl>
    <w:lvl w:ilvl="5" w:tplc="EE3E744C" w:tentative="1">
      <w:start w:val="1"/>
      <w:numFmt w:val="lowerRoman"/>
      <w:lvlText w:val="%6."/>
      <w:lvlJc w:val="right"/>
      <w:pPr>
        <w:ind w:left="3960" w:hanging="180"/>
      </w:pPr>
    </w:lvl>
    <w:lvl w:ilvl="6" w:tplc="F87A2A84" w:tentative="1">
      <w:start w:val="1"/>
      <w:numFmt w:val="decimal"/>
      <w:lvlText w:val="%7."/>
      <w:lvlJc w:val="left"/>
      <w:pPr>
        <w:ind w:left="4680" w:hanging="360"/>
      </w:pPr>
    </w:lvl>
    <w:lvl w:ilvl="7" w:tplc="80D8795A" w:tentative="1">
      <w:start w:val="1"/>
      <w:numFmt w:val="lowerLetter"/>
      <w:lvlText w:val="%8."/>
      <w:lvlJc w:val="left"/>
      <w:pPr>
        <w:ind w:left="5400" w:hanging="360"/>
      </w:pPr>
    </w:lvl>
    <w:lvl w:ilvl="8" w:tplc="DAEC4BF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6407A16">
      <w:start w:val="1"/>
      <w:numFmt w:val="bullet"/>
      <w:lvlText w:val=""/>
      <w:lvlJc w:val="left"/>
      <w:pPr>
        <w:ind w:left="720" w:hanging="360"/>
      </w:pPr>
      <w:rPr>
        <w:rFonts w:ascii="Symbol" w:hAnsi="Symbol"/>
      </w:rPr>
    </w:lvl>
    <w:lvl w:ilvl="1" w:tplc="FDE26DBC">
      <w:start w:val="1"/>
      <w:numFmt w:val="bullet"/>
      <w:lvlText w:val="o"/>
      <w:lvlJc w:val="left"/>
      <w:pPr>
        <w:tabs>
          <w:tab w:val="num" w:pos="1440"/>
        </w:tabs>
        <w:ind w:left="1440" w:hanging="360"/>
      </w:pPr>
      <w:rPr>
        <w:rFonts w:ascii="Courier New" w:hAnsi="Courier New"/>
      </w:rPr>
    </w:lvl>
    <w:lvl w:ilvl="2" w:tplc="59F2EBC8">
      <w:start w:val="1"/>
      <w:numFmt w:val="bullet"/>
      <w:lvlText w:val=""/>
      <w:lvlJc w:val="left"/>
      <w:pPr>
        <w:tabs>
          <w:tab w:val="num" w:pos="2160"/>
        </w:tabs>
        <w:ind w:left="2160" w:hanging="360"/>
      </w:pPr>
      <w:rPr>
        <w:rFonts w:ascii="Wingdings" w:hAnsi="Wingdings"/>
      </w:rPr>
    </w:lvl>
    <w:lvl w:ilvl="3" w:tplc="D8329B62">
      <w:start w:val="1"/>
      <w:numFmt w:val="bullet"/>
      <w:lvlText w:val=""/>
      <w:lvlJc w:val="left"/>
      <w:pPr>
        <w:tabs>
          <w:tab w:val="num" w:pos="2880"/>
        </w:tabs>
        <w:ind w:left="2880" w:hanging="360"/>
      </w:pPr>
      <w:rPr>
        <w:rFonts w:ascii="Symbol" w:hAnsi="Symbol"/>
      </w:rPr>
    </w:lvl>
    <w:lvl w:ilvl="4" w:tplc="ADEA8438">
      <w:start w:val="1"/>
      <w:numFmt w:val="bullet"/>
      <w:lvlText w:val="o"/>
      <w:lvlJc w:val="left"/>
      <w:pPr>
        <w:tabs>
          <w:tab w:val="num" w:pos="3600"/>
        </w:tabs>
        <w:ind w:left="3600" w:hanging="360"/>
      </w:pPr>
      <w:rPr>
        <w:rFonts w:ascii="Courier New" w:hAnsi="Courier New"/>
      </w:rPr>
    </w:lvl>
    <w:lvl w:ilvl="5" w:tplc="F1AACAEA">
      <w:start w:val="1"/>
      <w:numFmt w:val="bullet"/>
      <w:lvlText w:val=""/>
      <w:lvlJc w:val="left"/>
      <w:pPr>
        <w:tabs>
          <w:tab w:val="num" w:pos="4320"/>
        </w:tabs>
        <w:ind w:left="4320" w:hanging="360"/>
      </w:pPr>
      <w:rPr>
        <w:rFonts w:ascii="Wingdings" w:hAnsi="Wingdings"/>
      </w:rPr>
    </w:lvl>
    <w:lvl w:ilvl="6" w:tplc="3168DDE2">
      <w:start w:val="1"/>
      <w:numFmt w:val="bullet"/>
      <w:lvlText w:val=""/>
      <w:lvlJc w:val="left"/>
      <w:pPr>
        <w:tabs>
          <w:tab w:val="num" w:pos="5040"/>
        </w:tabs>
        <w:ind w:left="5040" w:hanging="360"/>
      </w:pPr>
      <w:rPr>
        <w:rFonts w:ascii="Symbol" w:hAnsi="Symbol"/>
      </w:rPr>
    </w:lvl>
    <w:lvl w:ilvl="7" w:tplc="C47C4604">
      <w:start w:val="1"/>
      <w:numFmt w:val="bullet"/>
      <w:lvlText w:val="o"/>
      <w:lvlJc w:val="left"/>
      <w:pPr>
        <w:tabs>
          <w:tab w:val="num" w:pos="5760"/>
        </w:tabs>
        <w:ind w:left="5760" w:hanging="360"/>
      </w:pPr>
      <w:rPr>
        <w:rFonts w:ascii="Courier New" w:hAnsi="Courier New"/>
      </w:rPr>
    </w:lvl>
    <w:lvl w:ilvl="8" w:tplc="92C40DF6">
      <w:start w:val="1"/>
      <w:numFmt w:val="bullet"/>
      <w:lvlText w:val=""/>
      <w:lvlJc w:val="left"/>
      <w:pPr>
        <w:tabs>
          <w:tab w:val="num" w:pos="6480"/>
        </w:tabs>
        <w:ind w:left="6480" w:hanging="360"/>
      </w:pPr>
      <w:rPr>
        <w:rFonts w:ascii="Wingdings" w:hAnsi="Wingdings"/>
      </w:rPr>
    </w:lvl>
  </w:abstractNum>
  <w:num w:numId="1" w16cid:durableId="110366770">
    <w:abstractNumId w:val="9"/>
  </w:num>
  <w:num w:numId="2" w16cid:durableId="254872042">
    <w:abstractNumId w:val="7"/>
  </w:num>
  <w:num w:numId="3" w16cid:durableId="383020954">
    <w:abstractNumId w:val="6"/>
  </w:num>
  <w:num w:numId="4" w16cid:durableId="1507744022">
    <w:abstractNumId w:val="5"/>
  </w:num>
  <w:num w:numId="5" w16cid:durableId="101926009">
    <w:abstractNumId w:val="4"/>
  </w:num>
  <w:num w:numId="6" w16cid:durableId="29840229">
    <w:abstractNumId w:val="12"/>
  </w:num>
  <w:num w:numId="7" w16cid:durableId="1799490960">
    <w:abstractNumId w:val="11"/>
  </w:num>
  <w:num w:numId="8" w16cid:durableId="1299871519">
    <w:abstractNumId w:val="10"/>
  </w:num>
  <w:num w:numId="9" w16cid:durableId="776631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516853">
    <w:abstractNumId w:val="13"/>
  </w:num>
  <w:num w:numId="11" w16cid:durableId="1216628304">
    <w:abstractNumId w:val="8"/>
  </w:num>
  <w:num w:numId="12" w16cid:durableId="1189761020">
    <w:abstractNumId w:val="3"/>
  </w:num>
  <w:num w:numId="13" w16cid:durableId="590043893">
    <w:abstractNumId w:val="2"/>
  </w:num>
  <w:num w:numId="14" w16cid:durableId="532696879">
    <w:abstractNumId w:val="1"/>
  </w:num>
  <w:num w:numId="15" w16cid:durableId="593320974">
    <w:abstractNumId w:val="0"/>
  </w:num>
  <w:num w:numId="16" w16cid:durableId="77274795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462357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6146"/>
    <w:rsid w:val="001E291F"/>
    <w:rsid w:val="001E2E4A"/>
    <w:rsid w:val="00223DA8"/>
    <w:rsid w:val="00233408"/>
    <w:rsid w:val="00265A0E"/>
    <w:rsid w:val="0027067B"/>
    <w:rsid w:val="00281997"/>
    <w:rsid w:val="002B2435"/>
    <w:rsid w:val="002B2F95"/>
    <w:rsid w:val="002D78C9"/>
    <w:rsid w:val="002F663C"/>
    <w:rsid w:val="00304F14"/>
    <w:rsid w:val="00312B8C"/>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0D1"/>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3F3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07469"/>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5C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pingalert.org/en/Search/Index?countryIds=C554&amp;freeText=inhibitors&amp;viewData=%20G%2FTBT%2FN%2FNZL%2F132" TargetMode="External"/><Relationship Id="rId4" Type="http://schemas.openxmlformats.org/officeDocument/2006/relationships/styles" Target="styles.xml"/><Relationship Id="rId9" Type="http://schemas.openxmlformats.org/officeDocument/2006/relationships/hyperlink" Target="https://www.legislation.govt.nz/regulation/public/2024/0133/latest/LMS970034.html?search=ts_act%40bill%40regulation%40deemedreg_agricultural+compounds_resel_25_a&amp;p=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4D2E-408E-4F65-A9AB-91491C106486}">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2024-07-11T10:32:00Z</dcterms:created>
  <dcterms:modified xsi:type="dcterms:W3CDTF">2024-07-11T10:46:00Z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